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uppressAutoHyphens/>
        <w:jc w:val="both"/>
        <w:rPr>
          <w:rFonts w:hint="eastAsia" w:ascii="楷体" w:hAnsi="Times New Roman" w:eastAsia="楷体"/>
          <w:spacing w:val="-2"/>
          <w:sz w:val="22"/>
          <w:szCs w:val="22"/>
        </w:rPr>
      </w:pPr>
    </w:p>
    <w:p>
      <w:pPr>
        <w:suppressAutoHyphens/>
        <w:jc w:val="both"/>
        <w:rPr>
          <w:rFonts w:ascii="Gill Sans Condensed" w:hAnsi="Gill Sans Condensed"/>
          <w:color w:val="0000FF"/>
          <w:spacing w:val="-2"/>
          <w:sz w:val="32"/>
        </w:rPr>
      </w:pPr>
      <w:bookmarkStart w:id="0" w:name="_GoBack"/>
      <w:bookmarkEnd w:id="0"/>
      <w:r>
        <w:rPr>
          <w:b/>
          <w:spacing w:val="-2"/>
          <w:sz w:val="24"/>
          <w:u w:val="single"/>
        </w:rPr>
        <mc:AlternateContent>
          <mc:Choice Requires="wps">
            <w:drawing>
              <wp:anchor distT="0" distB="0" distL="114300" distR="114300" simplePos="0" relativeHeight="251673600" behindDoc="0" locked="0" layoutInCell="1" allowOverlap="1">
                <wp:simplePos x="0" y="0"/>
                <wp:positionH relativeFrom="column">
                  <wp:posOffset>431165</wp:posOffset>
                </wp:positionH>
                <wp:positionV relativeFrom="paragraph">
                  <wp:posOffset>25400</wp:posOffset>
                </wp:positionV>
                <wp:extent cx="4389120" cy="822960"/>
                <wp:effectExtent l="4445" t="4445" r="13335" b="10795"/>
                <wp:wrapNone/>
                <wp:docPr id="5" name="矩形 5"/>
                <wp:cNvGraphicFramePr/>
                <a:graphic xmlns:a="http://schemas.openxmlformats.org/drawingml/2006/main">
                  <a:graphicData uri="http://schemas.microsoft.com/office/word/2010/wordprocessingShape">
                    <wps:wsp>
                      <wps:cNvSpPr/>
                      <wps:spPr>
                        <a:xfrm>
                          <a:off x="0" y="0"/>
                          <a:ext cx="4389120" cy="822960"/>
                        </a:xfrm>
                        <a:prstGeom prst="rect">
                          <a:avLst/>
                        </a:prstGeom>
                        <a:solidFill>
                          <a:srgbClr val="FFFFFF"/>
                        </a:solidFill>
                        <a:ln w="9525" cap="flat" cmpd="sng">
                          <a:solidFill>
                            <a:srgbClr val="4F1C6C"/>
                          </a:solidFill>
                          <a:prstDash val="solid"/>
                          <a:miter/>
                          <a:headEnd type="none" w="med" len="med"/>
                          <a:tailEnd type="none" w="med" len="med"/>
                        </a:ln>
                      </wps:spPr>
                      <wps:txbx>
                        <w:txbxContent>
                          <w:p>
                            <w:pPr>
                              <w:jc w:val="center"/>
                              <w:rPr>
                                <w:rFonts w:hint="eastAsia" w:ascii="Impact" w:hAnsi="Impact" w:eastAsia="楷体"/>
                                <w:b/>
                                <w:color w:val="4F1C6C"/>
                                <w:sz w:val="44"/>
                              </w:rPr>
                            </w:pPr>
                            <w:r>
                              <w:rPr>
                                <w:rFonts w:hint="eastAsia" w:ascii="Impact" w:hAnsi="Impact"/>
                                <w:b/>
                                <w:color w:val="4F1C6C"/>
                                <w:sz w:val="44"/>
                              </w:rPr>
                              <w:t xml:space="preserve"> PEZG1000</w:t>
                            </w:r>
                          </w:p>
                          <w:p>
                            <w:pPr>
                              <w:jc w:val="center"/>
                              <w:rPr>
                                <w:rFonts w:hint="eastAsia" w:ascii="Impact" w:hAnsi="Impact" w:eastAsia="楷体"/>
                                <w:b/>
                                <w:color w:val="4F1C6C"/>
                                <w:sz w:val="36"/>
                              </w:rPr>
                            </w:pPr>
                            <w:r>
                              <w:rPr>
                                <w:rFonts w:hint="eastAsia" w:ascii="Impact" w:hAnsi="Impact" w:eastAsia="楷体"/>
                                <w:b/>
                                <w:color w:val="4F1C6C"/>
                                <w:sz w:val="36"/>
                              </w:rPr>
                              <w:t>高效阻隔紫外光母粒</w:t>
                            </w:r>
                          </w:p>
                        </w:txbxContent>
                      </wps:txbx>
                      <wps:bodyPr upright="1"/>
                    </wps:wsp>
                  </a:graphicData>
                </a:graphic>
              </wp:anchor>
            </w:drawing>
          </mc:Choice>
          <mc:Fallback>
            <w:pict>
              <v:rect id="_x0000_s1026" o:spid="_x0000_s1026" o:spt="1" style="position:absolute;left:0pt;margin-left:33.95pt;margin-top:2pt;height:64.8pt;width:345.6pt;z-index:251673600;mso-width-relative:page;mso-height-relative:page;" fillcolor="#FFFFFF" filled="t" stroked="t" coordsize="21600,21600" o:gfxdata="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YhMynXAAAACAEAAA8AAAAAAAAAAQAgAAAAIgAAAGRycy9kb3ducmV2LnhtbFBLAQIUABQAAAAI&#10;AIdO4kCfd7OC7gEAANsDAAAOAAAAAAAAAAEAIAAAACYBAABkcnMvZTJvRG9jLnhtbFBLBQYAAAAA&#10;BgAGAFkBAACGBQAAAAA=&#10;">
                <v:fill on="t" focussize="0,0"/>
                <v:stroke color="#4F1C6C" joinstyle="miter"/>
                <v:imagedata o:title=""/>
                <o:lock v:ext="edit" aspectratio="f"/>
                <v:textbox>
                  <w:txbxContent>
                    <w:p>
                      <w:pPr>
                        <w:jc w:val="center"/>
                        <w:rPr>
                          <w:rFonts w:hint="eastAsia" w:ascii="Impact" w:hAnsi="Impact" w:eastAsia="楷体"/>
                          <w:b/>
                          <w:color w:val="4F1C6C"/>
                          <w:sz w:val="44"/>
                        </w:rPr>
                      </w:pPr>
                      <w:r>
                        <w:rPr>
                          <w:rFonts w:hint="eastAsia" w:ascii="Impact" w:hAnsi="Impact"/>
                          <w:b/>
                          <w:color w:val="4F1C6C"/>
                          <w:sz w:val="44"/>
                        </w:rPr>
                        <w:t xml:space="preserve"> PEZG1000</w:t>
                      </w:r>
                    </w:p>
                    <w:p>
                      <w:pPr>
                        <w:jc w:val="center"/>
                        <w:rPr>
                          <w:rFonts w:hint="eastAsia" w:ascii="Impact" w:hAnsi="Impact" w:eastAsia="楷体"/>
                          <w:b/>
                          <w:color w:val="4F1C6C"/>
                          <w:sz w:val="36"/>
                        </w:rPr>
                      </w:pPr>
                      <w:r>
                        <w:rPr>
                          <w:rFonts w:hint="eastAsia" w:ascii="Impact" w:hAnsi="Impact" w:eastAsia="楷体"/>
                          <w:b/>
                          <w:color w:val="4F1C6C"/>
                          <w:sz w:val="36"/>
                        </w:rPr>
                        <w:t>高效阻隔紫外光母粒</w:t>
                      </w:r>
                    </w:p>
                  </w:txbxContent>
                </v:textbox>
              </v:rect>
            </w:pict>
          </mc:Fallback>
        </mc:AlternateContent>
      </w:r>
    </w:p>
    <w:p>
      <w:pPr>
        <w:suppressAutoHyphens/>
        <w:jc w:val="both"/>
        <w:outlineLvl w:val="0"/>
        <w:rPr>
          <w:rFonts w:ascii="Gill Sans Condensed" w:hAnsi="Gill Sans Condensed"/>
          <w:color w:val="0000FF"/>
          <w:spacing w:val="-2"/>
          <w:sz w:val="32"/>
        </w:rPr>
      </w:pPr>
    </w:p>
    <w:p>
      <w:pPr>
        <w:suppressAutoHyphens/>
        <w:jc w:val="both"/>
        <w:outlineLvl w:val="0"/>
        <w:rPr>
          <w:rFonts w:ascii="Gill Sans Condensed" w:hAnsi="Gill Sans Condensed"/>
          <w:color w:val="0000FF"/>
          <w:spacing w:val="-2"/>
          <w:sz w:val="32"/>
        </w:rPr>
      </w:pPr>
    </w:p>
    <w:p>
      <w:pPr>
        <w:pBdr>
          <w:top w:val="thinThickSmallGap" w:color="0000FF" w:sz="24" w:space="1"/>
        </w:pBdr>
        <w:suppressAutoHyphens/>
        <w:jc w:val="right"/>
        <w:outlineLvl w:val="0"/>
        <w:rPr>
          <w:rFonts w:ascii="Gill Sans Condensed" w:hAnsi="Gill Sans Condensed"/>
          <w:color w:val="0000FF"/>
          <w:spacing w:val="-2"/>
        </w:rPr>
      </w:pPr>
      <w:r>
        <w:rPr>
          <w:rFonts w:hint="eastAsia" w:eastAsia="楷体"/>
          <w:i/>
        </w:rPr>
        <w:t>产 品 说 明 书</w:t>
      </w:r>
    </w:p>
    <w:p>
      <w:pPr>
        <w:pStyle w:val="2"/>
        <w:rPr>
          <w:rFonts w:hint="eastAsia" w:ascii="楷体" w:eastAsia="楷体"/>
          <w:szCs w:val="24"/>
          <w:u w:val="none"/>
        </w:rPr>
      </w:pPr>
      <w:r>
        <w:rPr>
          <w:rFonts w:hint="eastAsia" w:ascii="楷体" w:eastAsia="楷体"/>
          <w:szCs w:val="24"/>
          <w:u w:val="none"/>
        </w:rPr>
        <w:t>性能</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。主要用于透明软包装</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。可阻挡紫外光不同波长范围内的紫外光</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。可有效保护被包装产品免受阳光中紫外光或储存环境中荧光灯之损害。如因紫外灯货荧光灯引起的颜色转变、气味问题、食品变坏、香料及营养物质素下降等等，最终影响产品品牌形象</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。使用HM13-11140之透明软包装膜可用于火腿、香肠、肉类、奶酪、干果、小吃、薯片、糖果、个人护理用品及医疗或药品等之包装。</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。于50微米之PE或PP薄膜内使用HM13-11140可有效阻挡95%紫外光，并可保持高透明</w:t>
      </w:r>
    </w:p>
    <w:p>
      <w:pPr>
        <w:suppressAutoHyphens/>
        <w:jc w:val="both"/>
        <w:rPr>
          <w:rFonts w:hint="eastAsia" w:ascii="楷体" w:hAnsi="Times New Roman" w:eastAsia="楷体"/>
          <w:b/>
          <w:spacing w:val="-2"/>
          <w:sz w:val="24"/>
          <w:szCs w:val="24"/>
        </w:rPr>
      </w:pPr>
      <w:r>
        <w:rPr>
          <w:rFonts w:hint="eastAsia" w:ascii="楷体" w:hAnsi="Times New Roman" w:eastAsia="楷体"/>
          <w:b/>
          <w:spacing w:val="-2"/>
          <w:sz w:val="24"/>
          <w:szCs w:val="24"/>
        </w:rPr>
        <w:t>其他特点</w:t>
      </w:r>
    </w:p>
    <w:p>
      <w:pPr>
        <w:suppressAutoHyphens/>
        <w:jc w:val="both"/>
        <w:rPr>
          <w:rFonts w:hint="eastAsia" w:ascii="楷体" w:hAnsi="Times New Roman" w:eastAsia="楷体"/>
          <w:bCs/>
          <w:spacing w:val="-2"/>
          <w:sz w:val="22"/>
          <w:szCs w:val="22"/>
        </w:rPr>
      </w:pPr>
      <w:r>
        <w:rPr>
          <w:rFonts w:hint="eastAsia" w:ascii="楷体" w:hAnsi="Times New Roman" w:eastAsia="楷体"/>
          <w:bCs/>
          <w:spacing w:val="-2"/>
          <w:sz w:val="22"/>
          <w:szCs w:val="22"/>
        </w:rPr>
        <w:t>。可用于单层或多层PE或PP共挤薄膜</w:t>
      </w:r>
    </w:p>
    <w:p>
      <w:pPr>
        <w:suppressAutoHyphens/>
        <w:jc w:val="both"/>
        <w:rPr>
          <w:rFonts w:hint="eastAsia" w:ascii="楷体" w:hAnsi="Times New Roman" w:eastAsia="楷体"/>
          <w:bCs/>
          <w:spacing w:val="-2"/>
          <w:sz w:val="22"/>
          <w:szCs w:val="22"/>
        </w:rPr>
      </w:pPr>
      <w:r>
        <w:rPr>
          <w:rFonts w:hint="eastAsia" w:ascii="楷体" w:hAnsi="Times New Roman" w:eastAsia="楷体"/>
          <w:bCs/>
          <w:spacing w:val="-2"/>
          <w:sz w:val="22"/>
          <w:szCs w:val="22"/>
        </w:rPr>
        <w:t>。不会影响风口性，印刷及复合等后加工工序</w:t>
      </w:r>
    </w:p>
    <w:p>
      <w:pPr>
        <w:suppressAutoHyphens/>
        <w:jc w:val="both"/>
        <w:rPr>
          <w:rFonts w:hint="eastAsia" w:ascii="楷体" w:hAnsi="Times New Roman" w:eastAsia="楷体"/>
          <w:b/>
          <w:spacing w:val="-2"/>
          <w:sz w:val="24"/>
          <w:szCs w:val="24"/>
        </w:rPr>
      </w:pPr>
      <w:r>
        <w:rPr>
          <w:rFonts w:hint="eastAsia" w:ascii="楷体" w:hAnsi="Times New Roman" w:eastAsia="楷体"/>
          <w:b/>
          <w:spacing w:val="-2"/>
          <w:sz w:val="24"/>
          <w:szCs w:val="24"/>
        </w:rPr>
        <w:t>应用领域</w:t>
      </w:r>
    </w:p>
    <w:p>
      <w:pPr>
        <w:suppressAutoHyphens/>
        <w:jc w:val="both"/>
        <w:outlineLvl w:val="0"/>
        <w:rPr>
          <w:rFonts w:hint="eastAsia" w:ascii="楷体" w:hAnsi="Times New Roman" w:eastAsia="楷体"/>
          <w:bCs/>
          <w:spacing w:val="-2"/>
          <w:sz w:val="22"/>
          <w:szCs w:val="22"/>
        </w:rPr>
      </w:pPr>
      <w:r>
        <w:rPr>
          <w:rFonts w:hint="eastAsia" w:ascii="楷体" w:hAnsi="Times New Roman" w:eastAsia="楷体"/>
          <w:bCs/>
          <w:spacing w:val="-2"/>
          <w:sz w:val="22"/>
          <w:szCs w:val="22"/>
        </w:rPr>
        <w:t>食物、个人护理/卫生用品及医疗用品之透明软包装。</w:t>
      </w:r>
    </w:p>
    <w:p>
      <w:pPr>
        <w:suppressAutoHyphens/>
        <w:jc w:val="both"/>
        <w:outlineLvl w:val="0"/>
        <w:rPr>
          <w:rFonts w:hint="eastAsia" w:ascii="楷体" w:hAnsi="楷体" w:eastAsia="楷体" w:cs="楷体"/>
          <w:spacing w:val="-2"/>
          <w:sz w:val="24"/>
          <w:szCs w:val="24"/>
        </w:rPr>
      </w:pPr>
      <w:r>
        <w:rPr>
          <w:rFonts w:hint="eastAsia" w:ascii="楷体" w:hAnsi="楷体" w:eastAsia="楷体" w:cs="楷体"/>
          <w:spacing w:val="-2"/>
          <w:sz w:val="24"/>
          <w:szCs w:val="24"/>
        </w:rPr>
        <w:t xml:space="preserve"> </w:t>
      </w:r>
      <w:r>
        <w:rPr>
          <w:rFonts w:hint="eastAsia" w:ascii="楷体" w:hAnsi="楷体" w:eastAsia="楷体" w:cs="楷体"/>
          <w:b/>
          <w:bCs/>
          <w:spacing w:val="-2"/>
          <w:sz w:val="24"/>
          <w:szCs w:val="24"/>
        </w:rPr>
        <w:t>基本数据                    ASTM 测试标准                        数值</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Gill Sans Condensed" w:hAnsi="Gill Sans Condensed"/>
          <w:color w:val="0000FF"/>
          <w:spacing w:val="-2"/>
        </w:rPr>
        <w:t xml:space="preserve"> </w:t>
      </w:r>
      <w:r>
        <w:rPr>
          <w:rFonts w:hint="eastAsia" w:ascii="楷体" w:hAnsi="楷体" w:eastAsia="楷体" w:cs="楷体"/>
          <w:spacing w:val="-2"/>
          <w:sz w:val="22"/>
          <w:szCs w:val="22"/>
        </w:rPr>
        <w:t>载体树脂                                                               LDPE</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熔融指数                          D 1238                             8g/10min</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比重                            D  792                               0.94</w:t>
      </w:r>
    </w:p>
    <w:p>
      <w:pPr>
        <w:pBdr>
          <w:top w:val="thinThickSmallGap" w:color="0000FF" w:sz="24" w:space="1"/>
        </w:pBdr>
        <w:suppressAutoHyphens/>
        <w:outlineLvl w:val="0"/>
        <w:rPr>
          <w:rFonts w:hint="eastAsia" w:ascii="楷体" w:hAnsi="楷体" w:eastAsia="楷体" w:cs="楷体"/>
          <w:spacing w:val="-2"/>
          <w:sz w:val="22"/>
          <w:szCs w:val="22"/>
        </w:rPr>
      </w:pPr>
      <w:r>
        <w:rPr>
          <w:rFonts w:hint="eastAsia" w:ascii="楷体" w:hAnsi="楷体" w:eastAsia="楷体" w:cs="楷体"/>
          <w:spacing w:val="-2"/>
          <w:sz w:val="22"/>
          <w:szCs w:val="22"/>
        </w:rPr>
        <w:t xml:space="preserve"> 含湿率                                                              &lt;1000 ppm</w:t>
      </w:r>
    </w:p>
    <w:p>
      <w:pPr>
        <w:tabs>
          <w:tab w:val="left" w:pos="-720"/>
        </w:tabs>
        <w:suppressAutoHyphens/>
        <w:jc w:val="both"/>
        <w:rPr>
          <w:rFonts w:hint="eastAsia" w:ascii="Abadi MT Condensed" w:hAnsi="Abadi MT Condensed"/>
          <w:b/>
        </w:rPr>
      </w:pPr>
      <w:r>
        <w:rPr>
          <w:rFonts w:hint="eastAsia" w:ascii="楷体" w:hAnsi="Times New Roman" w:eastAsia="楷体"/>
          <w:spacing w:val="-2"/>
          <w:sz w:val="22"/>
          <w:szCs w:val="22"/>
        </w:rPr>
        <w:t>（以上技术数据，只供参考之用）</w:t>
      </w:r>
      <w:r>
        <w:rPr>
          <w:rFonts w:hint="eastAsia"/>
        </w:rPr>
        <w:t xml:space="preserve"> </w:t>
      </w:r>
    </w:p>
    <w:p>
      <w:pPr>
        <w:suppressAutoHyphens/>
        <w:jc w:val="both"/>
        <w:rPr>
          <w:rFonts w:hint="eastAsia" w:ascii="楷体" w:hAnsi="Times New Roman" w:eastAsia="楷体"/>
          <w:b/>
          <w:bCs/>
          <w:spacing w:val="-2"/>
          <w:sz w:val="24"/>
          <w:szCs w:val="24"/>
          <w:u w:val="single"/>
        </w:rPr>
      </w:pPr>
      <w:r>
        <w:rPr>
          <w:rFonts w:hint="eastAsia" w:ascii="楷体" w:hAnsi="Times New Roman" w:eastAsia="楷体"/>
          <w:b/>
          <w:bCs/>
          <w:spacing w:val="-2"/>
          <w:sz w:val="24"/>
          <w:szCs w:val="24"/>
          <w:u w:val="single"/>
        </w:rPr>
        <w:t>建议添加比例</w:t>
      </w:r>
    </w:p>
    <w:p>
      <w:pPr>
        <w:suppressAutoHyphens/>
        <w:spacing w:line="360" w:lineRule="auto"/>
        <w:jc w:val="both"/>
        <w:rPr>
          <w:rFonts w:hint="eastAsia" w:ascii="楷体" w:hAnsi="Times New Roman" w:eastAsia="楷体"/>
          <w:spacing w:val="-2"/>
          <w:sz w:val="22"/>
          <w:szCs w:val="22"/>
        </w:rPr>
      </w:pPr>
      <w:r>
        <w:rPr>
          <w:rFonts w:hint="eastAsia" w:ascii="楷体" w:hAnsi="Times New Roman" w:eastAsia="楷体"/>
          <w:spacing w:val="-2"/>
          <w:sz w:val="22"/>
          <w:szCs w:val="22"/>
        </w:rPr>
        <w:t>视乎产品要求，一般加入量为1.5%-5%。</w:t>
      </w:r>
    </w:p>
    <w:p>
      <w:pPr>
        <w:suppressAutoHyphens/>
        <w:spacing w:line="360" w:lineRule="auto"/>
        <w:jc w:val="both"/>
        <w:rPr>
          <w:rFonts w:hint="eastAsia" w:ascii="楷体" w:hAnsi="Times New Roman" w:eastAsia="楷体"/>
          <w:spacing w:val="-2"/>
          <w:sz w:val="22"/>
          <w:szCs w:val="22"/>
        </w:rPr>
      </w:pPr>
    </w:p>
    <w:p>
      <w:pPr>
        <w:suppressAutoHyphens/>
        <w:jc w:val="both"/>
        <w:rPr>
          <w:rFonts w:hint="eastAsia" w:ascii="楷体" w:hAnsi="Times New Roman" w:eastAsia="楷体"/>
          <w:b/>
          <w:bCs/>
          <w:spacing w:val="-2"/>
          <w:sz w:val="24"/>
          <w:szCs w:val="24"/>
          <w:u w:val="single"/>
        </w:rPr>
      </w:pPr>
      <w:r>
        <w:rPr>
          <w:rFonts w:hint="eastAsia" w:ascii="楷体" w:hAnsi="Times New Roman" w:eastAsia="楷体"/>
          <w:b/>
          <w:bCs/>
          <w:spacing w:val="-2"/>
          <w:sz w:val="24"/>
          <w:szCs w:val="24"/>
          <w:u w:val="single"/>
        </w:rPr>
        <w:t>储存方式及有效储存期</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应长期储存在凉爽的仓库内。有效储存期二年。</w:t>
      </w:r>
    </w:p>
    <w:p>
      <w:pPr>
        <w:suppressAutoHyphens/>
        <w:jc w:val="both"/>
        <w:rPr>
          <w:rFonts w:hint="eastAsia" w:ascii="楷体" w:hAnsi="Times New Roman" w:eastAsia="楷体"/>
          <w:spacing w:val="-2"/>
          <w:sz w:val="22"/>
          <w:szCs w:val="22"/>
        </w:rPr>
      </w:pPr>
    </w:p>
    <w:p>
      <w:pPr>
        <w:suppressAutoHyphens/>
        <w:jc w:val="both"/>
        <w:rPr>
          <w:rFonts w:hint="eastAsia" w:ascii="楷体" w:hAnsi="Times New Roman" w:eastAsia="楷体"/>
          <w:b/>
          <w:bCs/>
          <w:spacing w:val="-2"/>
          <w:sz w:val="24"/>
          <w:szCs w:val="24"/>
        </w:rPr>
      </w:pPr>
      <w:r>
        <w:rPr>
          <w:rFonts w:hint="eastAsia" w:ascii="楷体" w:hAnsi="Times New Roman" w:eastAsia="楷体"/>
          <w:b/>
          <w:bCs/>
          <w:spacing w:val="-2"/>
          <w:sz w:val="24"/>
          <w:szCs w:val="24"/>
        </w:rPr>
        <w:t>食品接触安全性</w:t>
      </w:r>
    </w:p>
    <w:p>
      <w:pPr>
        <w:suppressAutoHyphens/>
        <w:jc w:val="both"/>
        <w:rPr>
          <w:rFonts w:hint="eastAsia" w:ascii="楷体" w:hAnsi="Times New Roman" w:eastAsia="楷体"/>
          <w:spacing w:val="-2"/>
          <w:sz w:val="22"/>
          <w:szCs w:val="22"/>
        </w:rPr>
      </w:pPr>
      <w:r>
        <w:rPr>
          <w:rFonts w:hint="eastAsia" w:ascii="楷体" w:hAnsi="Times New Roman" w:eastAsia="楷体"/>
          <w:spacing w:val="-2"/>
          <w:sz w:val="22"/>
          <w:szCs w:val="22"/>
        </w:rPr>
        <w:t>符合美国FDA 21 CFR 177.1520.要求，能与食品接触。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Gill Sans Condensed">
    <w:altName w:val="Segoe Print"/>
    <w:panose1 w:val="02010606040404020203"/>
    <w:charset w:val="00"/>
    <w:family w:val="auto"/>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Abadi MT Condensed">
    <w:altName w:val="MV Boli"/>
    <w:panose1 w:val="020B0506030101010103"/>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B7D84"/>
    <w:rsid w:val="0A985FA8"/>
    <w:rsid w:val="2B941FBA"/>
    <w:rsid w:val="490B7D84"/>
    <w:rsid w:val="4C3E285A"/>
    <w:rsid w:val="54C6439F"/>
    <w:rsid w:val="5A3F7304"/>
    <w:rsid w:val="7E8A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ourier" w:hAnsi="Courier" w:eastAsia="宋体" w:cs="Times New Roman"/>
      <w:lang w:val="en-US" w:eastAsia="zh-CN" w:bidi="ar-SA"/>
    </w:rPr>
  </w:style>
  <w:style w:type="paragraph" w:styleId="2">
    <w:name w:val="heading 1"/>
    <w:basedOn w:val="1"/>
    <w:next w:val="1"/>
    <w:qFormat/>
    <w:uiPriority w:val="0"/>
    <w:pPr>
      <w:keepNext/>
      <w:suppressAutoHyphens/>
      <w:jc w:val="both"/>
      <w:outlineLvl w:val="0"/>
    </w:pPr>
    <w:rPr>
      <w:rFonts w:ascii="Times New Roman" w:hAnsi="Times New Roman"/>
      <w:b/>
      <w:spacing w:val="-2"/>
      <w:sz w:val="24"/>
      <w:u w:val="singl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2020-08-29T08:17:00Z</dcterms:created>
  <dc:creator>风歌</dc:creator>
  <cp:lastModifiedBy>风歌</cp:lastModifiedBy>
  <dcterms:modified xsi:type="dcterms:W3CDTF">2020-08-29T11:27:08Z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