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  <w:r>
        <w:rPr>
          <w:b/>
          <w:spacing w:val="-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95885</wp:posOffset>
                </wp:positionV>
                <wp:extent cx="4930775" cy="822960"/>
                <wp:effectExtent l="4445" t="4445" r="508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07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1C6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</w:pPr>
                            <w:r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  <w:t xml:space="preserve"> PEJD3000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</w:pPr>
                            <w:r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  <w:t>长效抗静电母料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.35pt;margin-top:7.55pt;height:64.8pt;width:388.25pt;z-index:251667456;mso-width-relative:page;mso-height-relative:page;" fillcolor="#FFFFFF" filled="t" stroked="t" coordsize="21600,21600" o:gfxdata="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qh1B9cAAAAJAQAADwAAAAAAAAABACAAAAAiAAAAZHJzL2Rvd25yZXYueG1sUEsBAhQAFAAAAAgA&#10;h07iQMo88mztAQAA2wMAAA4AAAAAAAAAAQAgAAAAJgEAAGRycy9lMm9Eb2MueG1sUEsFBgAAAAAG&#10;AAYAWQEAAIUFAAAAAA==&#10;">
                <v:fill on="t" focussize="0,0"/>
                <v:stroke color="#4F1C6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</w:pPr>
                      <w:r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  <w:t xml:space="preserve"> PEJD3000</w:t>
                      </w:r>
                    </w:p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</w:pPr>
                      <w:r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  <w:t>长效抗静电母料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</w:p>
    <w:p>
      <w:pPr>
        <w:tabs>
          <w:tab w:val="left" w:pos="2400"/>
        </w:tabs>
        <w:suppressAutoHyphens/>
        <w:jc w:val="both"/>
        <w:rPr>
          <w:rFonts w:hint="eastAsia"/>
          <w:b/>
          <w:i/>
          <w:iCs/>
          <w:spacing w:val="-2"/>
          <w:sz w:val="24"/>
        </w:rPr>
      </w:pP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hint="eastAsia" w:eastAsia="楷体"/>
          <w:i/>
        </w:rPr>
      </w:pP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ascii="Gill Sans Condensed" w:hAnsi="Gill Sans Condensed"/>
          <w:color w:val="0000FF"/>
          <w:spacing w:val="-2"/>
        </w:rPr>
      </w:pPr>
      <w:r>
        <w:rPr>
          <w:rFonts w:hint="eastAsia" w:eastAsia="楷体"/>
          <w:i/>
        </w:rPr>
        <w:t>产 品 说 明 书</w:t>
      </w:r>
    </w:p>
    <w:p>
      <w:pPr>
        <w:pStyle w:val="2"/>
        <w:rPr>
          <w:rFonts w:hint="eastAsia" w:ascii="楷体" w:eastAsia="楷体"/>
          <w:szCs w:val="24"/>
          <w:u w:val="none"/>
        </w:rPr>
      </w:pPr>
      <w:r>
        <w:rPr>
          <w:rFonts w:hint="eastAsia" w:ascii="楷体" w:eastAsia="楷体"/>
          <w:szCs w:val="24"/>
          <w:u w:val="none"/>
        </w:rPr>
        <w:t>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。可使PP及PE包装膜材料的表面电阻率达到10</w:t>
      </w:r>
      <w:r>
        <w:rPr>
          <w:rFonts w:hint="eastAsia" w:ascii="楷体" w:hAnsi="Times New Roman" w:eastAsia="楷体"/>
          <w:spacing w:val="-2"/>
          <w:sz w:val="22"/>
          <w:szCs w:val="22"/>
          <w:vertAlign w:val="superscript"/>
        </w:rPr>
        <w:t>10</w:t>
      </w:r>
      <w:r>
        <w:rPr>
          <w:rFonts w:hint="eastAsia" w:ascii="楷体" w:hAnsi="Times New Roman" w:eastAsia="楷体"/>
          <w:spacing w:val="-2"/>
          <w:sz w:val="22"/>
          <w:szCs w:val="22"/>
        </w:rPr>
        <w:t>-10</w:t>
      </w:r>
      <w:r>
        <w:rPr>
          <w:rFonts w:hint="eastAsia" w:ascii="楷体" w:hAnsi="Times New Roman" w:eastAsia="楷体"/>
          <w:spacing w:val="-2"/>
          <w:sz w:val="22"/>
          <w:szCs w:val="22"/>
          <w:vertAlign w:val="superscript"/>
        </w:rPr>
        <w:t xml:space="preserve">12 </w:t>
      </w:r>
      <w:r>
        <w:rPr>
          <w:rFonts w:ascii="Arial" w:hAnsi="Arial" w:eastAsia="楷体" w:cs="Arial"/>
          <w:spacing w:val="-2"/>
          <w:sz w:val="22"/>
          <w:szCs w:val="22"/>
        </w:rPr>
        <w:t>O</w:t>
      </w:r>
      <w:r>
        <w:rPr>
          <w:rFonts w:hint="eastAsia" w:ascii="楷体" w:hAnsi="Times New Roman" w:eastAsia="楷体"/>
          <w:spacing w:val="-2"/>
          <w:sz w:val="22"/>
          <w:szCs w:val="22"/>
        </w:rPr>
        <w:t>hm（</w:t>
      </w:r>
      <w:r>
        <w:rPr>
          <w:rFonts w:hint="eastAsia" w:ascii="楷体" w:hAnsi="楷体" w:eastAsia="楷体" w:cs="楷体"/>
          <w:spacing w:val="-2"/>
          <w:sz w:val="22"/>
          <w:szCs w:val="22"/>
        </w:rPr>
        <w:t>Ω</w:t>
      </w:r>
      <w:r>
        <w:rPr>
          <w:rFonts w:hint="eastAsia" w:ascii="楷体" w:hAnsi="Times New Roman" w:eastAsia="楷体"/>
          <w:spacing w:val="-2"/>
          <w:sz w:val="22"/>
          <w:szCs w:val="22"/>
        </w:rPr>
        <w:t>）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。它在加入塑料后，不影响制成品表面的状态或手感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。配方中含有抗静电种的释放速度阻延剂。因此，使抗静电剂的释放速度受到控制，从而延长了薄膜的抗静电有效期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其他特点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。无异味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。慢速析出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。良好光学性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应用领域</w:t>
      </w:r>
    </w:p>
    <w:p>
      <w:pPr>
        <w:suppressAutoHyphens/>
        <w:jc w:val="both"/>
        <w:outlineLvl w:val="0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奶粉，精细电子包装，防尘包装等。</w:t>
      </w:r>
    </w:p>
    <w:p>
      <w:pPr>
        <w:suppressAutoHyphens/>
        <w:jc w:val="both"/>
        <w:outlineLvl w:val="0"/>
        <w:rPr>
          <w:rFonts w:hint="eastAsia" w:ascii="楷体" w:hAnsi="楷体" w:eastAsia="楷体" w:cs="楷体"/>
          <w:spacing w:val="-2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pacing w:val="-2"/>
          <w:sz w:val="24"/>
          <w:szCs w:val="24"/>
        </w:rPr>
        <w:t>基本数据                    ASTM 测试标准                        数值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载体树脂                                                               LDPE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高纯度无味化合物                                                          10%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熔融指数                          D 1238                            18g/10min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比重                            D  792                               0.94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</w:t>
      </w:r>
      <w:bookmarkStart w:id="0" w:name="_GoBack"/>
      <w:bookmarkEnd w:id="0"/>
      <w:r>
        <w:rPr>
          <w:rFonts w:hint="eastAsia" w:ascii="楷体" w:hAnsi="楷体" w:eastAsia="楷体" w:cs="楷体"/>
          <w:spacing w:val="-2"/>
          <w:sz w:val="22"/>
          <w:szCs w:val="22"/>
        </w:rPr>
        <w:t>含湿率                                                               &lt;1000 pp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（以上技术数据，只供参考之用）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建议添加比例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。视乎产品要求、原料配方、膜材生产工艺条件、膜材使用环境温度而定。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使用方法及建议的添加比率为：</w:t>
      </w:r>
    </w:p>
    <w:p>
      <w:pPr>
        <w:numPr>
          <w:ilvl w:val="0"/>
          <w:numId w:val="1"/>
        </w:num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加入方法与一般色种相同。</w:t>
      </w:r>
    </w:p>
    <w:p>
      <w:pPr>
        <w:numPr>
          <w:ilvl w:val="0"/>
          <w:numId w:val="1"/>
        </w:num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适用的塑料材料范围：LDPE、LLDPE、HDPE、PP。</w:t>
      </w:r>
    </w:p>
    <w:p>
      <w:pPr>
        <w:numPr>
          <w:ilvl w:val="0"/>
          <w:numId w:val="1"/>
        </w:num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用量：LDPE/LLDPE        2-4%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        HDPE              3-5%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         PP                3-5%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。如果加入过量抗静电母粒可能导致包装材料表面“泛油”或滑腻。影响胶袋的热封口性。印刷油墨粘附不良，热封强度差等问题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如果膜材含有其它迁移性添加剂，如爽滑剂，紫外光吸收剂等，可随爽滑剂而发生迁移。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 xml:space="preserve">  如产生上述问题，客户需要评估及调整添加剂整体配方，减低各迁移性添加剂的含量。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储存方式及有效储存期</w:t>
      </w:r>
    </w:p>
    <w:p>
      <w:pPr>
        <w:suppressAutoHyphens/>
        <w:jc w:val="both"/>
      </w:pPr>
      <w:r>
        <w:rPr>
          <w:rFonts w:hint="eastAsia" w:ascii="楷体" w:hAnsi="Times New Roman" w:eastAsia="楷体"/>
          <w:spacing w:val="-2"/>
          <w:sz w:val="22"/>
          <w:szCs w:val="22"/>
        </w:rPr>
        <w:t>应长期储存在凉爽的仓库内。有效储存期二年以上。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ill Sans Condensed">
    <w:altName w:val="Segoe Print"/>
    <w:panose1 w:val="02010606040404020203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95F3C"/>
    <w:rsid w:val="19095F3C"/>
    <w:rsid w:val="6584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4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2020-08-29T08:41:00Z</dcterms:created>
  <dc:creator>风歌</dc:creator>
  <cp:lastModifiedBy>风歌</cp:lastModifiedBy>
  <dcterms:modified xsi:type="dcterms:W3CDTF">2020-08-29T11:28:43Z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